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年校级教育教学改革与研究立项课题开题答辩安排表</w:t>
      </w:r>
    </w:p>
    <w:tbl>
      <w:tblPr>
        <w:tblStyle w:val="3"/>
        <w:tblW w:w="13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98"/>
        <w:gridCol w:w="1363"/>
        <w:gridCol w:w="5421"/>
        <w:gridCol w:w="1381"/>
        <w:gridCol w:w="1422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项目类型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542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答辩时间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答辩地点</w:t>
            </w:r>
          </w:p>
        </w:tc>
        <w:tc>
          <w:tcPr>
            <w:tcW w:w="202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答辩专家名单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2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3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3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3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3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3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3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5333133-1F34-46CD-9E3B-97EDB7FFB1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OTUzNTgwNmMyYzQ1OGY2MGYzMmY3ZTIyZDI3NzEifQ=="/>
  </w:docVars>
  <w:rsids>
    <w:rsidRoot w:val="69FE7CD1"/>
    <w:rsid w:val="0CB50F2C"/>
    <w:rsid w:val="69FE7CD1"/>
    <w:rsid w:val="7D74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2022-04-27T08:55:00Z</dcterms:created>
  <dc:creator>lenovo</dc:creator>
  <cp:lastModifiedBy>IIIIII</cp:lastModifiedBy>
  <dcterms:modified xsi:type="dcterms:W3CDTF">2023-05-29T02:02:55Z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E4FA49D08B054F86B29E04501F4FA97B</vt:lpwstr>
  </property>
</Properties>
</file>