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2年</w:t>
      </w:r>
      <w:r>
        <w:rPr>
          <w:rFonts w:hint="eastAsia" w:ascii="方正小标宋简体" w:hAnsi="宋体" w:eastAsia="方正小标宋简体"/>
          <w:sz w:val="44"/>
          <w:szCs w:val="44"/>
        </w:rPr>
        <w:t>山东省本科高校教改项目立项</w:t>
      </w:r>
      <w:r>
        <w:rPr>
          <w:rFonts w:ascii="方正小标宋简体" w:hAnsi="宋体" w:eastAsia="方正小标宋简体"/>
          <w:sz w:val="44"/>
          <w:szCs w:val="44"/>
        </w:rPr>
        <w:br w:type="textWrapping"/>
      </w:r>
      <w:bookmarkEnd w:id="0"/>
      <w:r>
        <w:rPr>
          <w:rFonts w:hint="eastAsia" w:ascii="方正小标宋简体" w:hAnsi="宋体" w:eastAsia="方正小标宋简体"/>
          <w:sz w:val="44"/>
          <w:szCs w:val="44"/>
        </w:rPr>
        <w:t>参考指南</w:t>
      </w:r>
    </w:p>
    <w:p>
      <w:pPr>
        <w:spacing w:after="156" w:afterLines="50"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3"/>
        <w:tblW w:w="8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选题编号</w:t>
            </w:r>
          </w:p>
        </w:tc>
        <w:tc>
          <w:tcPr>
            <w:tcW w:w="6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选题内容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A、高等教育发展研究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山东高等教育发展战略研究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山东高等教育竞争力研究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新时代高质量高等教育体系研究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高等学校治理体系和治理能力现代化研究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现代大学制度研究与探索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高等学校办学特色的培育研究与实践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山东高校教育资源统筹利用及有效管理研究与实践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高等学校适应地方经济发展研究与实践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应用型大学建设研究与实践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A10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山东新建本科院校发展模式研究与实践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</w:t>
            </w: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山东省高等学校学科专业结构优化研究与实践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高等学校服务黄河流域高质量发展研究与实践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A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B、人才培养模式改革与创新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新高考改革下高等学校人才培养模式、体系研究与实践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高等学校应用研究型、应用型人才培养模式研究与实践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高等学校拔尖创新型人才培养模式研究与实践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高等学校卓越人才培养模式研究与实践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高等学校复合型人才培养模式研究与实践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高等学校国际视野及国际化人才培养模式研究与实践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高等学校通识教育教学内容与体系建设研究与实践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高校实践教学模式及运行机制创新研究与实践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高等学校产学研协同育人机制研究与实践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</w:t>
            </w: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高等学校全环境立德树人体系建设研究与实践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高等学校“五育并举”人才培养模式研究与实践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高等学校德育教育模式创新研究与实践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高等学校体育教育模式创新研究与实践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高等学校美育教育模式创新研究与实践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B15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高等学校劳动教育模式创新研究与实践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高等学校基础学科人才培养模式研究与实践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C、专业建设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</w:t>
            </w:r>
            <w:r>
              <w:rPr>
                <w:rFonts w:hint="eastAsia"/>
              </w:rPr>
              <w:t>多学科、跨专业交叉融合的专业建设模式研究</w:t>
            </w:r>
            <w:r>
              <w:rPr>
                <w:rFonts w:hint="eastAsia" w:ascii="宋体" w:hAnsi="宋体" w:cs="宋体"/>
              </w:rPr>
              <w:t>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高等学校专业群建设研究与实践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高等学校基于产业需求的专业动态调整机制研究与实践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新工科专业建设研究与实践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新农科专业建设研究与实践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新医科专业建设研究与实践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新文科专业建设研究与实践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一流专业建设研究与实践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ascii="宋体" w:hAnsi="宋体" w:cs="宋体"/>
              </w:rPr>
              <w:t>C09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微专业建设研究与实践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C10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专业课程体系整体优化研究与实践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ascii="宋体" w:hAnsi="宋体" w:cs="宋体"/>
              </w:rPr>
              <w:t>C1</w:t>
            </w: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2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D、课程建设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普通本科高校课程思政示范课程建设研究与实践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习近平新时代中国特色社会主义思想“三进”模式研究与实践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DO3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推进《习近平谈治国理政》多语种版本“三进”理论研究与实践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D04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黄河文化、黄河精神进课程研究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D05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一流课程</w:t>
            </w:r>
            <w:r>
              <w:rPr>
                <w:rFonts w:hint="eastAsia" w:ascii="宋体" w:hAnsi="宋体" w:cs="宋体"/>
              </w:rPr>
              <w:t>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ascii="宋体" w:hAnsi="宋体" w:cs="宋体"/>
              </w:rPr>
              <w:t>D06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微课建设与应用研究</w:t>
            </w:r>
            <w:r>
              <w:rPr>
                <w:rFonts w:hint="eastAsia" w:ascii="宋体" w:hAnsi="宋体" w:cs="宋体"/>
              </w:rPr>
              <w:t>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ascii="宋体" w:hAnsi="宋体" w:cs="宋体"/>
              </w:rPr>
              <w:t>D07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strike/>
              </w:rPr>
            </w:pPr>
            <w:r>
              <w:rPr>
                <w:rFonts w:ascii="宋体" w:hAnsi="宋体" w:cs="宋体"/>
              </w:rPr>
              <w:t>高等学校教学资源库建设</w:t>
            </w:r>
            <w:r>
              <w:rPr>
                <w:rFonts w:hint="eastAsia" w:ascii="宋体" w:hAnsi="宋体" w:cs="宋体"/>
              </w:rPr>
              <w:t>及</w:t>
            </w:r>
            <w:r>
              <w:rPr>
                <w:rFonts w:ascii="宋体" w:hAnsi="宋体" w:cs="宋体"/>
              </w:rPr>
              <w:t>应用研究</w:t>
            </w:r>
            <w:r>
              <w:rPr>
                <w:rFonts w:hint="eastAsia" w:ascii="宋体" w:hAnsi="宋体" w:cs="宋体"/>
              </w:rPr>
              <w:t>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D08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strike/>
              </w:rPr>
            </w:pPr>
            <w:r>
              <w:rPr>
                <w:rFonts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E、教材建设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EO1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高等教育基础学科一流本科</w:t>
            </w:r>
            <w:r>
              <w:rPr>
                <w:rFonts w:ascii="宋体" w:hAnsi="宋体" w:cs="宋体"/>
              </w:rPr>
              <w:t>教材</w:t>
            </w:r>
            <w:r>
              <w:rPr>
                <w:rFonts w:hint="eastAsia" w:ascii="宋体" w:hAnsi="宋体" w:cs="宋体"/>
              </w:rPr>
              <w:t>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EO2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高等教育自然科学类一流本科教材建设研究与实践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EO3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高等教育人文社科类一流本科教材建设研究与实践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</w:rPr>
              <w:t>EO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F、教育教学方法改革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高等学校本科教学内容更新机制研究与应用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高等学校研究性教学的探索与实践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 w:ascii="宋体" w:hAnsi="宋体" w:cs="宋体"/>
                <w:sz w:val="24"/>
              </w:rPr>
              <w:t>高等学校智慧教学研究与实践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高等学校案例式、启发式、探究式等教学方法研究与实践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高等学校公共基础课教学改革研究与实践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高等学校线上教学方法改革研究与实践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高等学校线上线下混合式教学方法改革研究与实践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高等学校实践教学方法改革研究与实践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G、创新创业教育改革研究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G01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高等学校创新创业与专业教育融合的人才培养模式改革研究与实践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高等学校创新创业教育实践基地建设的研究与实践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高等学校大学生职业生涯规划、就业指导与服务研究与实践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高等学校大学生创新创业教育与就业、创业能力研究与实践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高等学校第二课堂与大学生创新创业能力培养研究与实践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高等学校大学生科技竞赛活动项目培育模式研究与实践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H、基层教学组织与教师队伍建设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高等学校基层教学组织建设研究与实践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高等学校虚拟教研室建设方法与实践探索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高等学校教师教学激励机制研究与实践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高等学校教学名师成长机制研究与实践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高等学校“双师型”教师培养机制研究与实践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高等学校教师发展及服务支持体系研究与实践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高等学校教师职业道德建设研究与实践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高等学校本科生导师制的研究与实践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09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高等学校青年教师培养研究与实践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10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高等学校教师多元评价体系研究与实践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I、教学管理与质量保障体系建设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高等学校教学管理体制研究与实践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高等学校教学质量监控和保障体系研究与实践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高等学校人才培养质量评价体系、方法研究与实践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高校教学激励机制、评价机制和保障机制研究与实践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高等学校专业认证、专业评估、课程评估研究与实践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高等学校教学管理信息化建设研究与实践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高等学校本科人才培养过程管理研究与实践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高等学校学生实习组织与管理模式研究与实践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高等学校课程考核与学业评价改革研究与实践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10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高等学校大学生学习与发展评价研究与实践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高等学校“评教”与“评学”融合机制研究与实践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58"/>
              </w:tabs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高等学校课程教材管理与评估研究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高等学校教学督导工作研究与实践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高等学校多校区教学管理研究与实践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高等学校教学管理队伍建设研究与实践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高等学校学分制改革研究与实践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J、高等学校课堂教学改革研究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JO1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高等学校课堂教学模式创新研究与实践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JO2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高等学校课堂教学改革中的学生评价研究与实践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J03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highlight w:val="yellow"/>
              </w:rPr>
            </w:pPr>
            <w:r>
              <w:rPr>
                <w:rFonts w:hint="eastAsia" w:ascii="宋体" w:hAnsi="宋体" w:cs="宋体"/>
              </w:rPr>
              <w:t>高等学校课堂教学改革背景下教师教学能力提升研究与实践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J0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highlight w:val="yellow"/>
              </w:rPr>
            </w:pPr>
            <w:r>
              <w:rPr>
                <w:rFonts w:hint="eastAsia" w:ascii="宋体" w:hAnsi="宋体" w:cs="宋体"/>
              </w:rPr>
              <w:t>K、专项支持项目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K01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服务高校招生人才选拔专项支持项目（具体研究内容由项目负责人自行确定）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L、其他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L99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其他选题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mY0NTM5ZDRjYWIwNjgwMmE0MWY5ZDBhY2U3ZjQifQ=="/>
  </w:docVars>
  <w:rsids>
    <w:rsidRoot w:val="27692123"/>
    <w:rsid w:val="276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题 #4"/>
    <w:basedOn w:val="1"/>
    <w:qFormat/>
    <w:uiPriority w:val="0"/>
    <w:pPr>
      <w:shd w:val="clear" w:color="auto" w:fill="FFFFFF"/>
      <w:spacing w:before="1980" w:after="480" w:line="557" w:lineRule="exact"/>
      <w:jc w:val="center"/>
      <w:outlineLvl w:val="3"/>
    </w:pPr>
    <w:rPr>
      <w:rFonts w:ascii="宋体" w:hAnsi="宋体" w:cs="宋体"/>
      <w:color w:val="000000"/>
      <w:spacing w:val="-30"/>
      <w:kern w:val="0"/>
      <w:sz w:val="46"/>
      <w:szCs w:val="46"/>
      <w:lang w:val="zh-CN" w:bidi="zh-CN"/>
    </w:rPr>
  </w:style>
  <w:style w:type="character" w:customStyle="1" w:styleId="6">
    <w:name w:val="标题 #4 + Times New Roman"/>
    <w:qFormat/>
    <w:uiPriority w:val="0"/>
    <w:rPr>
      <w:rFonts w:ascii="Times New Roman" w:hAnsi="Times New Roman" w:eastAsia="Times New Roman" w:cs="Times New Roman"/>
      <w:b/>
      <w:bCs/>
      <w:color w:val="000000"/>
      <w:spacing w:val="-20"/>
      <w:w w:val="100"/>
      <w:position w:val="0"/>
      <w:sz w:val="44"/>
      <w:szCs w:val="44"/>
      <w:u w:val="none"/>
      <w:shd w:val="clear" w:color="auto" w:fill="FFFFFF"/>
      <w:lang w:val="zh-CN" w:eastAsia="zh-CN" w:bidi="zh-CN"/>
    </w:rPr>
  </w:style>
  <w:style w:type="paragraph" w:customStyle="1" w:styleId="7">
    <w:name w:val="正文文本1"/>
    <w:basedOn w:val="1"/>
    <w:qFormat/>
    <w:uiPriority w:val="0"/>
    <w:pPr>
      <w:shd w:val="clear" w:color="auto" w:fill="FFFFFF"/>
      <w:spacing w:before="780" w:after="1980" w:line="0" w:lineRule="atLeast"/>
      <w:ind w:hanging="340"/>
      <w:jc w:val="right"/>
    </w:pPr>
    <w:rPr>
      <w:rFonts w:ascii="宋体" w:hAnsi="宋体" w:cs="宋体"/>
      <w:color w:val="000000"/>
      <w:spacing w:val="20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2022-10-25T10:30:00Z</dcterms:created>
  <dc:creator>二锅头</dc:creator>
  <cp:lastModifiedBy>二锅头</cp:lastModifiedBy>
  <dcterms:modified xsi:type="dcterms:W3CDTF">2022-10-25T10:31:45Z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42E604F759D7474496B66B98D60C29A1</vt:lpwstr>
  </property>
</Properties>
</file>