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0"/>
          <w:szCs w:val="32"/>
        </w:rPr>
      </w:pPr>
      <w:r>
        <w:rPr>
          <w:rFonts w:hint="eastAsia" w:ascii="Times New Roman" w:hAnsi="Times New Roman" w:eastAsia="方正小标宋简体" w:cs="Times New Roman"/>
          <w:sz w:val="40"/>
          <w:szCs w:val="32"/>
        </w:rPr>
        <w:t>潍坊医学院</w:t>
      </w:r>
      <w:r>
        <w:rPr>
          <w:rFonts w:ascii="Times New Roman" w:hAnsi="Times New Roman" w:eastAsia="方正小标宋简体" w:cs="Times New Roman"/>
          <w:sz w:val="40"/>
          <w:szCs w:val="32"/>
        </w:rPr>
        <w:t>二级学院</w:t>
      </w:r>
      <w:r>
        <w:rPr>
          <w:rFonts w:hint="eastAsia" w:ascii="Times New Roman" w:hAnsi="Times New Roman" w:eastAsia="方正小标宋简体" w:cs="Times New Roman"/>
          <w:sz w:val="40"/>
          <w:szCs w:val="32"/>
        </w:rPr>
        <w:t>教学</w:t>
      </w:r>
      <w:r>
        <w:rPr>
          <w:rFonts w:ascii="Times New Roman" w:hAnsi="Times New Roman" w:eastAsia="方正小标宋简体" w:cs="Times New Roman"/>
          <w:sz w:val="40"/>
          <w:szCs w:val="32"/>
        </w:rPr>
        <w:t>督导</w:t>
      </w:r>
      <w:r>
        <w:rPr>
          <w:rFonts w:hint="eastAsia" w:ascii="Times New Roman" w:hAnsi="Times New Roman" w:eastAsia="方正小标宋简体" w:cs="Times New Roman"/>
          <w:sz w:val="40"/>
          <w:szCs w:val="32"/>
        </w:rPr>
        <w:t>专家</w:t>
      </w:r>
      <w:r>
        <w:rPr>
          <w:rFonts w:ascii="Times New Roman" w:hAnsi="Times New Roman" w:eastAsia="方正小标宋简体" w:cs="Times New Roman"/>
          <w:sz w:val="40"/>
          <w:szCs w:val="32"/>
        </w:rPr>
        <w:t>组</w:t>
      </w:r>
      <w:r>
        <w:rPr>
          <w:rFonts w:hint="eastAsia" w:ascii="Times New Roman" w:hAnsi="Times New Roman" w:eastAsia="方正小标宋简体" w:cs="Times New Roman"/>
          <w:sz w:val="40"/>
          <w:szCs w:val="32"/>
        </w:rPr>
        <w:t>建设指南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（供各学院参考）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  <w:t>人数设定</w:t>
      </w:r>
    </w:p>
    <w:p>
      <w:pPr>
        <w:pStyle w:val="6"/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督导组设组长、副组长、组员职务。</w:t>
      </w:r>
    </w:p>
    <w:p>
      <w:pPr>
        <w:pStyle w:val="6"/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督导组全部人员数量，建议按以下</w:t>
      </w:r>
      <w:bookmarkStart w:id="0" w:name="_GoBack"/>
      <w:bookmarkEnd w:id="0"/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标准之一确定：</w:t>
      </w:r>
    </w:p>
    <w:p>
      <w:pPr>
        <w:pStyle w:val="6"/>
        <w:numPr>
          <w:ilvl w:val="0"/>
          <w:numId w:val="2"/>
        </w:numPr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 xml:space="preserve">督导组人数:专任教师数= 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highlight w:val="none"/>
          <w:lang w:bidi="ar"/>
        </w:rPr>
        <w:t xml:space="preserve">1: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  <w:highlight w:val="none"/>
          <w:lang w:bidi="ar"/>
        </w:rPr>
        <w:t>~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  <w:highlight w:val="none"/>
          <w:lang w:bidi="ar"/>
        </w:rPr>
        <w:t>6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highlight w:val="none"/>
          <w:lang w:bidi="ar"/>
        </w:rPr>
        <w:t xml:space="preserve"> </w:t>
      </w:r>
    </w:p>
    <w:p>
      <w:pPr>
        <w:pStyle w:val="6"/>
        <w:numPr>
          <w:ilvl w:val="0"/>
          <w:numId w:val="2"/>
        </w:numPr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 xml:space="preserve">督导组人数:授课教师数= 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1: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  <w:highlight w:val="none"/>
          <w:lang w:bidi="ar"/>
        </w:rPr>
        <w:t>~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highlight w:val="none"/>
          <w:lang w:bidi="ar"/>
        </w:rPr>
        <w:t>7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  <w:t>聘任条件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（一）政治素质高，热爱教育事业，热心教学督导工作，坚持原则，办事公道，品行端正，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责任心强，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具有较高威信。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（二）了解高等教育新形势，熟悉教育法律法规、方针政策，把握高等教育规律，具有先进的教育教学理念、较高理论水平、丰富实践经验和较强工作能力。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（三）熟悉教学一线情况，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大学本科以上学历，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有5年以上教育工作经历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且具备下列条件之一：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1. 具有高级职称；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2. 担任二级学院党政负责人；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 担任教研室负责人；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 在省级及以上教学比赛中获得奖励；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列入当年度免于教学质量综合评价教师名单；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6. 具有中级职称且上年度教学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质量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评价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结果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位列本学院前30%。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  <w:t>工作职责</w:t>
      </w:r>
    </w:p>
    <w:p>
      <w:pPr>
        <w:pStyle w:val="6"/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参见《潍坊医学院教育教学督导工作管理办法》（潍医教字</w: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bidi="ar"/>
        </w:rPr>
        <w:t>〔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2021</w: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bidi="ar"/>
        </w:rPr>
        <w:t>〕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19号）相关内容。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  <w:t>工作要求</w:t>
      </w:r>
    </w:p>
    <w:p>
      <w:pPr>
        <w:pStyle w:val="6"/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1</w:t>
      </w:r>
      <w:r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.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工作范围要涵盖学院所有日常教学活动，不限于全部课程授课质量督导、集体备课督导、所辖专业学生学风督导、日常教学专项督导。</w:t>
      </w:r>
    </w:p>
    <w:p>
      <w:pPr>
        <w:pStyle w:val="6"/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2.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督导听课工作量按照《潍坊医学院听课管理规定》（潍医教字</w: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bidi="ar"/>
        </w:rPr>
        <w:t>〔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2017</w: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bidi="ar"/>
        </w:rPr>
        <w:t>〕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51号）执行，一般每学期不少于6次；督导组要制定听课计划，做好分工，进行针对性听课，原则上每年应对学院所有授课教师督导听课一轮次。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  <w:t>考核与待遇</w:t>
      </w:r>
    </w:p>
    <w:p>
      <w:pPr>
        <w:pStyle w:val="6"/>
        <w:numPr>
          <w:ilvl w:val="0"/>
          <w:numId w:val="3"/>
        </w:numPr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学院成立考核专家组，对督导组工作进行考核。</w:t>
      </w:r>
    </w:p>
    <w:p>
      <w:pPr>
        <w:pStyle w:val="6"/>
        <w:numPr>
          <w:ilvl w:val="0"/>
          <w:numId w:val="3"/>
        </w:numPr>
        <w:ind w:firstLine="640"/>
        <w:rPr>
          <w:rFonts w:ascii="仿宋_GB2312" w:hAnsi="黑体" w:eastAsia="仿宋_GB2312" w:cs="Times New Roman"/>
          <w:strike w:val="0"/>
          <w:dstrike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strike w:val="0"/>
          <w:dstrike w:val="0"/>
          <w:color w:val="auto"/>
          <w:kern w:val="0"/>
          <w:sz w:val="32"/>
          <w:szCs w:val="32"/>
          <w:highlight w:val="none"/>
          <w:lang w:bidi="ar"/>
        </w:rPr>
        <w:t>考核专家组应有联系本学院的学校督导委专家参与。</w:t>
      </w:r>
    </w:p>
    <w:p>
      <w:pPr>
        <w:pStyle w:val="6"/>
        <w:numPr>
          <w:ilvl w:val="0"/>
          <w:numId w:val="3"/>
        </w:numPr>
        <w:ind w:firstLine="640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经考核合格，按每人每年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不少于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12个学时核算工作量，从二级学院绩效考核经费中列支。</w:t>
      </w:r>
    </w:p>
    <w:p>
      <w:pPr>
        <w:pStyle w:val="6"/>
        <w:numPr>
          <w:ilvl w:val="0"/>
          <w:numId w:val="3"/>
        </w:numPr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每年督导听课少于1</w:t>
      </w:r>
      <w:r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2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次的，原则上考核结果确定为不合格，并解除聘用。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8E7F3"/>
    <w:multiLevelType w:val="singleLevel"/>
    <w:tmpl w:val="28A8E7F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1A478A"/>
    <w:multiLevelType w:val="multilevel"/>
    <w:tmpl w:val="571A478A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B5AE79D"/>
    <w:multiLevelType w:val="singleLevel"/>
    <w:tmpl w:val="7B5AE79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mMmY0NTM5ZDRjYWIwNjgwMmE0MWY5ZDBhY2U3ZjQifQ=="/>
  </w:docVars>
  <w:rsids>
    <w:rsidRoot w:val="000F54B9"/>
    <w:rsid w:val="000F54B9"/>
    <w:rsid w:val="001A6117"/>
    <w:rsid w:val="006903FE"/>
    <w:rsid w:val="00912BF0"/>
    <w:rsid w:val="0099536B"/>
    <w:rsid w:val="00B748B1"/>
    <w:rsid w:val="00B974AE"/>
    <w:rsid w:val="00CB15D7"/>
    <w:rsid w:val="00D94B46"/>
    <w:rsid w:val="11D156C7"/>
    <w:rsid w:val="16266974"/>
    <w:rsid w:val="231B7000"/>
    <w:rsid w:val="24FC4F26"/>
    <w:rsid w:val="30923990"/>
    <w:rsid w:val="449D51C6"/>
    <w:rsid w:val="4BB95FA3"/>
    <w:rsid w:val="616E36D0"/>
    <w:rsid w:val="6BA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708</Characters>
  <Lines>5</Lines>
  <Paragraphs>1</Paragraphs>
  <TotalTime>0</TotalTime>
  <ScaleCrop>false</ScaleCrop>
  <LinksUpToDate>false</LinksUpToDate>
  <CharactersWithSpaces>723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2022-07-08T06:55:00Z</dcterms:created>
  <dc:creator>Administrator</dc:creator>
  <cp:lastModifiedBy>二锅头</cp:lastModifiedBy>
  <cp:lastPrinted>2022-08-19T03:10:00Z</cp:lastPrinted>
  <dcterms:modified xsi:type="dcterms:W3CDTF">2022-09-07T10:15:03Z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CB61595AACA44B32832A08BB377A26D8</vt:lpwstr>
  </property>
</Properties>
</file>