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A5B" w:rsidRPr="00F73A5B" w:rsidRDefault="00F73A5B" w:rsidP="00F73A5B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r w:rsidRPr="00F73A5B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素质教育与教育强国建设</w:t>
      </w:r>
    </w:p>
    <w:p w:rsidR="00F73A5B" w:rsidRPr="00F73A5B" w:rsidRDefault="00F73A5B" w:rsidP="00F73A5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F73A5B" w:rsidRPr="00F73A5B" w:rsidRDefault="00F73A5B" w:rsidP="00F73A5B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73A5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—2035年）》，引领大学素质教育的全面发展，充分发挥广大会员高校开展课题研究的积极性和主动性，学会联合所属分支机构围绕“素质教育与教育强国建设”设立研究课题。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申报对象：本次课题申报面向学会会员，同一个学校最多推荐2项课题。 </w:t>
      </w:r>
      <w:r w:rsidRPr="00F73A5B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所属单位：大学素质教育研究分会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联 系 人：张晓峰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联系电话：01068918556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邮 箱：cale_2011@163.com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课题申报材料邮寄地址：北京市房山区学园北街北京理工大学(良乡校区)(东区)文萃楼J901 邮编：102488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一般课题 15 项， 0 万元/项， 自课题批准立项之日起，2年内完成。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重点课题 3 项， 1 万元/项， 自课题批准立项之日起，2年内完成。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(1) 高素质拔尖创新人才培养模式案例研究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(2) 数智时代大学生批判性思维素养提升路径研究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(3) 高校素质教育通识课程体系建设及特色经验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高校素质教育第二课堂育人体系及特色经验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(5) 中国通识教育的历史与传统溯源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(6) 智能工具辅助通识课程教学与管理的实践案例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(7) 国内外高校科技教育与人文教育协同发展的实践案例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(1) 科学家精神深度融入大学生素质教育路径研究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(2) 人工智能时代大学生的综合素质结构及评价研究</w:t>
      </w:r>
    </w:p>
    <w:p w:rsidR="00F73A5B" w:rsidRPr="00F73A5B" w:rsidRDefault="00F73A5B" w:rsidP="00F73A5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F73A5B">
        <w:rPr>
          <w:rFonts w:ascii="宋体" w:eastAsia="宋体" w:hAnsi="宋体" w:cs="宋体" w:hint="eastAsia"/>
          <w:color w:val="333333"/>
          <w:kern w:val="0"/>
          <w:szCs w:val="21"/>
        </w:rPr>
        <w:t>(3) 素质教育通识课程学习成果评价策略研究</w:t>
      </w:r>
    </w:p>
    <w:p w:rsidR="00245D90" w:rsidRDefault="00245D90">
      <w:bookmarkStart w:id="0" w:name="_GoBack"/>
      <w:bookmarkEnd w:id="0"/>
    </w:p>
    <w:sectPr w:rsidR="00245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5D"/>
    <w:rsid w:val="0018725D"/>
    <w:rsid w:val="00245D90"/>
    <w:rsid w:val="00F7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0007C-E45D-46B5-AEEE-2B581E96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73A5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73A5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73A5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F73A5B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F73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8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54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4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5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3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2025-05-30T06:30:00Z</dcterms:created>
  <dcterms:modified xsi:type="dcterms:W3CDTF">2025-05-30T06:30:00Z</dcterms:modified>
</cp:coreProperties>
</file>